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7C5EEB" w:rsidRDefault="000B1E15" w:rsidP="007B38E0">
      <w:pPr>
        <w:pStyle w:val="Pa1"/>
        <w:spacing w:before="240" w:after="240"/>
        <w:jc w:val="center"/>
        <w:rPr>
          <w:b/>
          <w:bCs/>
          <w:sz w:val="36"/>
          <w:szCs w:val="36"/>
        </w:rPr>
      </w:pPr>
      <w:r w:rsidRPr="007C5EEB">
        <w:rPr>
          <w:b/>
          <w:bCs/>
          <w:sz w:val="36"/>
          <w:szCs w:val="36"/>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4F16DB54"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C42612">
        <w:rPr>
          <w:b/>
          <w:i/>
          <w:sz w:val="22"/>
          <w:szCs w:val="22"/>
        </w:rPr>
        <w:t>Market Hill 8 to 8</w:t>
      </w:r>
      <w:r w:rsidR="0011371B" w:rsidRPr="007C5EEB">
        <w:rPr>
          <w:b/>
          <w:i/>
          <w:sz w:val="22"/>
          <w:szCs w:val="22"/>
        </w:rPr>
        <w:t xml:space="preserve"> Practice</w:t>
      </w:r>
      <w:r w:rsidR="0011371B" w:rsidRPr="0014024D">
        <w:rPr>
          <w:rStyle w:val="A1"/>
          <w:color w:val="auto"/>
        </w:rPr>
        <w:t xml:space="preserve"> </w:t>
      </w:r>
      <w:r w:rsidRPr="0014024D">
        <w:rPr>
          <w:rStyle w:val="A1"/>
          <w:color w:val="auto"/>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5A130566"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C42612">
        <w:rPr>
          <w:b/>
          <w:i/>
          <w:sz w:val="22"/>
          <w:szCs w:val="22"/>
        </w:rPr>
        <w:t>Market Hill 8 to 8</w:t>
      </w:r>
      <w:r w:rsidR="00C42612" w:rsidRPr="007C5EEB">
        <w:rPr>
          <w:b/>
          <w:i/>
          <w:sz w:val="22"/>
          <w:szCs w:val="22"/>
        </w:rPr>
        <w:t xml:space="preserve"> Practice</w:t>
      </w:r>
      <w:r w:rsidR="00C42612" w:rsidRP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6EB0392B"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C42612">
        <w:rPr>
          <w:b/>
          <w:i/>
          <w:sz w:val="22"/>
          <w:szCs w:val="22"/>
        </w:rPr>
        <w:t>Market Hill 8 to 8</w:t>
      </w:r>
      <w:r w:rsidR="00C42612" w:rsidRPr="007C5EEB">
        <w:rPr>
          <w:b/>
          <w:i/>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C42612">
        <w:rPr>
          <w:b/>
          <w:i/>
          <w:sz w:val="22"/>
          <w:szCs w:val="22"/>
        </w:rPr>
        <w:t>Market Hill 8 to 8</w:t>
      </w:r>
      <w:r w:rsidR="00C42612" w:rsidRPr="007C5EEB">
        <w:rPr>
          <w:b/>
          <w:i/>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24073C58"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C42612">
        <w:rPr>
          <w:b/>
          <w:i/>
          <w:sz w:val="22"/>
          <w:szCs w:val="22"/>
        </w:rPr>
        <w:t>Market Hill 8 to 8</w:t>
      </w:r>
      <w:r w:rsidR="00C42612" w:rsidRPr="007C5EEB">
        <w:rPr>
          <w:b/>
          <w:i/>
          <w:sz w:val="22"/>
          <w:szCs w:val="22"/>
        </w:rPr>
        <w:t xml:space="preserve"> Practice</w:t>
      </w:r>
      <w:r w:rsidR="007C5EEB">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31342E73" w:rsidR="000B1E15" w:rsidRDefault="00C42612" w:rsidP="0014024D">
      <w:pPr>
        <w:pStyle w:val="NormalWeb"/>
        <w:jc w:val="both"/>
        <w:rPr>
          <w:rFonts w:ascii="Arial" w:hAnsi="Arial" w:cs="Arial"/>
          <w:sz w:val="22"/>
          <w:szCs w:val="22"/>
        </w:rPr>
      </w:pPr>
      <w:r>
        <w:rPr>
          <w:b/>
          <w:i/>
          <w:sz w:val="22"/>
          <w:szCs w:val="22"/>
        </w:rPr>
        <w:t>Market Hill 8 to 8</w:t>
      </w:r>
      <w:r w:rsidRPr="007C5EEB">
        <w:rPr>
          <w:b/>
          <w:i/>
          <w:sz w:val="22"/>
          <w:szCs w:val="22"/>
        </w:rPr>
        <w:t xml:space="preserve"> Practice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516BD0E2" w:rsidR="000B1E15" w:rsidRDefault="000B1E15" w:rsidP="0014024D">
      <w:pPr>
        <w:pStyle w:val="NormalWeb"/>
        <w:numPr>
          <w:ilvl w:val="0"/>
          <w:numId w:val="20"/>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30th September 2020.</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proofErr w:type="gramStart"/>
      <w:r w:rsidRPr="0014024D">
        <w:rPr>
          <w:rFonts w:ascii="Arial" w:hAnsi="Arial" w:cs="Arial"/>
          <w:b/>
          <w:bCs/>
          <w:sz w:val="22"/>
          <w:szCs w:val="22"/>
          <w:u w:val="single"/>
        </w:rPr>
        <w:lastRenderedPageBreak/>
        <w:t>Covid-19 Purpose</w:t>
      </w:r>
      <w:r w:rsidRPr="0014024D">
        <w:rPr>
          <w:rFonts w:ascii="Arial" w:hAnsi="Arial" w:cs="Arial"/>
          <w:sz w:val="22"/>
          <w:szCs w:val="22"/>
        </w:rPr>
        <w:t>.</w:t>
      </w:r>
      <w:proofErr w:type="gramEnd"/>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6235EB13"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42612">
        <w:rPr>
          <w:b/>
          <w:i/>
          <w:sz w:val="22"/>
          <w:szCs w:val="22"/>
        </w:rPr>
        <w:t>Market Hill 8 to 8</w:t>
      </w:r>
      <w:r w:rsidR="00C42612" w:rsidRPr="007C5EEB">
        <w:rPr>
          <w:b/>
          <w:i/>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063F9F21"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42612">
        <w:rPr>
          <w:b/>
          <w:i/>
        </w:rPr>
        <w:t>Market Hill 8 to 8</w:t>
      </w:r>
      <w:r w:rsidR="00C42612" w:rsidRPr="007C5EEB">
        <w:rPr>
          <w:b/>
          <w:i/>
        </w:rPr>
        <w:t xml:space="preserve"> Practice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39AE14ED"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C42612">
        <w:rPr>
          <w:b/>
          <w:i/>
        </w:rPr>
        <w:t>Market Hill 8 to 8</w:t>
      </w:r>
      <w:r w:rsidR="00C42612" w:rsidRPr="007C5EEB">
        <w:rPr>
          <w:b/>
          <w:i/>
        </w:rPr>
        <w:t xml:space="preserve"> Practice</w:t>
      </w:r>
      <w:r w:rsidR="00C42612" w:rsidRP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329FC40D" w14:textId="36310356"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p>
    <w:p w14:paraId="196A8565" w14:textId="7777777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61A3C125"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C42612">
        <w:rPr>
          <w:b/>
          <w:i/>
        </w:rPr>
        <w:t>Market Hill 8 to 8</w:t>
      </w:r>
      <w:r w:rsidR="00C42612" w:rsidRPr="007C5EEB">
        <w:rPr>
          <w:b/>
          <w:i/>
        </w:rPr>
        <w:t xml:space="preserve"> Practice</w:t>
      </w:r>
      <w:r w:rsidR="007C5EEB" w:rsidRPr="0014024D">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3D96CA81"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30 September 2020 and may be extended by The Secretary of State.  If no further notice is sent to </w:t>
      </w:r>
      <w:r w:rsidR="00C42612">
        <w:rPr>
          <w:b/>
          <w:i/>
          <w:sz w:val="22"/>
          <w:szCs w:val="22"/>
        </w:rPr>
        <w:t>Market Hill 8 to 8</w:t>
      </w:r>
      <w:r w:rsidR="00C42612" w:rsidRPr="007C5EEB">
        <w:rPr>
          <w:b/>
          <w:i/>
          <w:sz w:val="22"/>
          <w:szCs w:val="22"/>
        </w:rPr>
        <w:t xml:space="preserve"> Practice</w:t>
      </w:r>
      <w:r w:rsidR="0014024D">
        <w:rPr>
          <w:rFonts w:ascii="Arial" w:hAnsi="Arial" w:cs="Arial"/>
          <w:sz w:val="22"/>
          <w:szCs w:val="22"/>
        </w:rPr>
        <w:t xml:space="preserve"> </w:t>
      </w:r>
      <w:r w:rsidRPr="0014024D">
        <w:rPr>
          <w:rFonts w:ascii="Arial" w:hAnsi="Arial" w:cs="Arial"/>
          <w:sz w:val="22"/>
          <w:szCs w:val="22"/>
        </w:rPr>
        <w:t>by The Secretary of State</w:t>
      </w:r>
      <w:r w:rsidR="0011371B">
        <w:rPr>
          <w:rFonts w:ascii="Arial" w:hAnsi="Arial" w:cs="Arial"/>
          <w:sz w:val="22"/>
          <w:szCs w:val="22"/>
        </w:rPr>
        <w:t>,</w:t>
      </w:r>
      <w:r w:rsidRPr="0014024D">
        <w:rPr>
          <w:rFonts w:ascii="Arial" w:hAnsi="Arial" w:cs="Arial"/>
          <w:sz w:val="22"/>
          <w:szCs w:val="22"/>
        </w:rPr>
        <w:t xml:space="preserve"> this Notice will expire on 30 September 2020.</w:t>
      </w:r>
    </w:p>
    <w:p w14:paraId="403A19E7" w14:textId="77777777" w:rsidR="007C5EEB" w:rsidRDefault="007C5EEB" w:rsidP="0014024D">
      <w:pPr>
        <w:pStyle w:val="NormalWeb"/>
        <w:jc w:val="both"/>
        <w:rPr>
          <w:rFonts w:ascii="Arial" w:hAnsi="Arial" w:cs="Arial"/>
          <w:sz w:val="22"/>
          <w:szCs w:val="22"/>
        </w:rPr>
      </w:pPr>
    </w:p>
    <w:p w14:paraId="10009C32" w14:textId="0274E583" w:rsidR="007C5EEB" w:rsidRPr="0014024D" w:rsidRDefault="007C5EEB" w:rsidP="0014024D">
      <w:pPr>
        <w:pStyle w:val="NormalWeb"/>
        <w:jc w:val="both"/>
        <w:rPr>
          <w:rFonts w:ascii="Arial" w:hAnsi="Arial" w:cs="Arial"/>
          <w:sz w:val="22"/>
          <w:szCs w:val="22"/>
        </w:rPr>
      </w:pPr>
      <w:r>
        <w:rPr>
          <w:rFonts w:ascii="Arial" w:hAnsi="Arial" w:cs="Arial"/>
          <w:sz w:val="22"/>
          <w:szCs w:val="22"/>
        </w:rPr>
        <w:t>Many Thanks.</w:t>
      </w:r>
      <w:bookmarkStart w:id="0" w:name="_GoBack"/>
      <w:bookmarkEnd w:id="0"/>
    </w:p>
    <w:sectPr w:rsidR="007C5EEB"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C3F2" w14:textId="77777777" w:rsidR="00376881" w:rsidRDefault="00376881" w:rsidP="00B10E50">
      <w:pPr>
        <w:spacing w:after="0" w:line="240" w:lineRule="auto"/>
      </w:pPr>
      <w:r>
        <w:separator/>
      </w:r>
    </w:p>
  </w:endnote>
  <w:endnote w:type="continuationSeparator" w:id="0">
    <w:p w14:paraId="351E1B26" w14:textId="77777777" w:rsidR="00376881" w:rsidRDefault="00376881"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101C86DE" w:rsidR="000B1E15" w:rsidRDefault="000B1E15" w:rsidP="00301BE7">
    <w:pPr>
      <w:pStyle w:val="Footer"/>
      <w:tabs>
        <w:tab w:val="clear" w:pos="9026"/>
      </w:tabs>
    </w:pPr>
    <w:r>
      <w:t>Covid-19 Privacy Notice v1.</w:t>
    </w:r>
    <w:r w:rsidR="0014024D">
      <w:t>1</w:t>
    </w:r>
    <w:r>
      <w:tab/>
      <w:t xml:space="preserve">2020/04/02 </w:t>
    </w:r>
    <w:r w:rsidR="00C42612">
      <w:rPr>
        <w:b/>
        <w:i/>
      </w:rPr>
      <w:t>Market Hill 8 to 8</w:t>
    </w:r>
    <w:r w:rsidR="00C42612" w:rsidRPr="007C5EEB">
      <w:rPr>
        <w:b/>
        <w:i/>
      </w:rPr>
      <w:t xml:space="preserve"> Practice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2F7EE" w14:textId="77777777" w:rsidR="00376881" w:rsidRDefault="00376881" w:rsidP="00B10E50">
      <w:pPr>
        <w:spacing w:after="0" w:line="240" w:lineRule="auto"/>
      </w:pPr>
      <w:r>
        <w:separator/>
      </w:r>
    </w:p>
  </w:footnote>
  <w:footnote w:type="continuationSeparator" w:id="0">
    <w:p w14:paraId="7E157F03" w14:textId="77777777" w:rsidR="00376881" w:rsidRDefault="00376881"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8"/>
  </w:num>
  <w:num w:numId="4">
    <w:abstractNumId w:val="7"/>
  </w:num>
  <w:num w:numId="5">
    <w:abstractNumId w:val="15"/>
  </w:num>
  <w:num w:numId="6">
    <w:abstractNumId w:val="7"/>
  </w:num>
  <w:num w:numId="7">
    <w:abstractNumId w:val="18"/>
  </w:num>
  <w:num w:numId="8">
    <w:abstractNumId w:val="9"/>
  </w:num>
  <w:num w:numId="9">
    <w:abstractNumId w:val="14"/>
  </w:num>
  <w:num w:numId="10">
    <w:abstractNumId w:val="10"/>
  </w:num>
  <w:num w:numId="11">
    <w:abstractNumId w:val="11"/>
  </w:num>
  <w:num w:numId="12">
    <w:abstractNumId w:val="6"/>
  </w:num>
  <w:num w:numId="13">
    <w:abstractNumId w:val="12"/>
  </w:num>
  <w:num w:numId="14">
    <w:abstractNumId w:val="16"/>
  </w:num>
  <w:num w:numId="15">
    <w:abstractNumId w:val="13"/>
  </w:num>
  <w:num w:numId="16">
    <w:abstractNumId w:val="5"/>
  </w:num>
  <w:num w:numId="17">
    <w:abstractNumId w:val="8"/>
  </w:num>
  <w:num w:numId="18">
    <w:abstractNumId w:val="4"/>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71B"/>
    <w:rsid w:val="00113FBC"/>
    <w:rsid w:val="00121301"/>
    <w:rsid w:val="00124794"/>
    <w:rsid w:val="0014024D"/>
    <w:rsid w:val="00147759"/>
    <w:rsid w:val="0015274D"/>
    <w:rsid w:val="001572CB"/>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76881"/>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41BBC"/>
    <w:rsid w:val="00542AD7"/>
    <w:rsid w:val="005508A5"/>
    <w:rsid w:val="00557598"/>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C5EEB"/>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25D0"/>
    <w:rsid w:val="00C42612"/>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235B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Darryl Southern</cp:lastModifiedBy>
  <cp:revision>2</cp:revision>
  <cp:lastPrinted>2018-11-19T14:20:00Z</cp:lastPrinted>
  <dcterms:created xsi:type="dcterms:W3CDTF">2020-04-06T12:06:00Z</dcterms:created>
  <dcterms:modified xsi:type="dcterms:W3CDTF">2020-04-06T12:06:00Z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